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A4F" w:rsidRPr="00E36A4F" w:rsidRDefault="00E36A4F" w:rsidP="00E36A4F">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E36A4F">
        <w:rPr>
          <w:rFonts w:ascii="Times New Roman" w:eastAsia="Times New Roman" w:hAnsi="Times New Roman" w:cs="Times New Roman"/>
          <w:b/>
          <w:bCs/>
          <w:sz w:val="36"/>
          <w:szCs w:val="36"/>
        </w:rPr>
        <w:t>DECISION</w:t>
      </w:r>
    </w:p>
    <w:p w:rsidR="00E36A4F" w:rsidRPr="00E36A4F" w:rsidRDefault="00E36A4F" w:rsidP="00E36A4F">
      <w:pPr>
        <w:spacing w:before="100" w:beforeAutospacing="1" w:after="100" w:afterAutospacing="1" w:line="240" w:lineRule="auto"/>
        <w:jc w:val="center"/>
        <w:rPr>
          <w:rFonts w:ascii="Times New Roman" w:eastAsia="Times New Roman" w:hAnsi="Times New Roman" w:cs="Times New Roman"/>
          <w:sz w:val="24"/>
          <w:szCs w:val="24"/>
        </w:rPr>
      </w:pPr>
      <w:r w:rsidRPr="00E36A4F">
        <w:rPr>
          <w:rFonts w:ascii="Times New Roman" w:eastAsia="Times New Roman" w:hAnsi="Times New Roman" w:cs="Times New Roman"/>
          <w:b/>
          <w:bCs/>
          <w:sz w:val="24"/>
          <w:szCs w:val="24"/>
        </w:rPr>
        <w:t>Regarding the recovery of 208.0 hectares of land from former land users within the planning area for the construction of Đắk Glun 2 and Đắk Glun 3 hydropower projects.</w:t>
      </w:r>
    </w:p>
    <w:p w:rsidR="00E36A4F" w:rsidRPr="00E36A4F" w:rsidRDefault="00E36A4F" w:rsidP="00E36A4F">
      <w:pPr>
        <w:spacing w:before="100" w:beforeAutospacing="1" w:after="100" w:afterAutospacing="1" w:line="240" w:lineRule="auto"/>
        <w:outlineLvl w:val="2"/>
        <w:rPr>
          <w:rFonts w:ascii="Times New Roman" w:eastAsia="Times New Roman" w:hAnsi="Times New Roman" w:cs="Times New Roman"/>
          <w:b/>
          <w:bCs/>
          <w:sz w:val="27"/>
          <w:szCs w:val="27"/>
        </w:rPr>
      </w:pPr>
      <w:r w:rsidRPr="00E36A4F">
        <w:rPr>
          <w:rFonts w:ascii="Times New Roman" w:eastAsia="Times New Roman" w:hAnsi="Times New Roman" w:cs="Times New Roman"/>
          <w:b/>
          <w:bCs/>
          <w:sz w:val="27"/>
          <w:szCs w:val="27"/>
        </w:rPr>
        <w:t>General Information</w:t>
      </w:r>
    </w:p>
    <w:p w:rsidR="00E36A4F" w:rsidRPr="00E36A4F" w:rsidRDefault="00E36A4F" w:rsidP="00E36A4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b/>
          <w:bCs/>
          <w:sz w:val="24"/>
          <w:szCs w:val="24"/>
        </w:rPr>
        <w:t>Issuing Authority:</w:t>
      </w:r>
      <w:r w:rsidRPr="00E36A4F">
        <w:rPr>
          <w:rFonts w:ascii="Times New Roman" w:eastAsia="Times New Roman" w:hAnsi="Times New Roman" w:cs="Times New Roman"/>
          <w:sz w:val="24"/>
          <w:szCs w:val="24"/>
        </w:rPr>
        <w:t xml:space="preserve"> People's Committee of Đắk Nông Province. </w:t>
      </w:r>
    </w:p>
    <w:p w:rsidR="00E36A4F" w:rsidRPr="00E36A4F" w:rsidRDefault="00E36A4F" w:rsidP="00E36A4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b/>
          <w:bCs/>
          <w:sz w:val="24"/>
          <w:szCs w:val="24"/>
        </w:rPr>
        <w:t>Decision No.:</w:t>
      </w:r>
      <w:r w:rsidRPr="00E36A4F">
        <w:rPr>
          <w:rFonts w:ascii="Times New Roman" w:eastAsia="Times New Roman" w:hAnsi="Times New Roman" w:cs="Times New Roman"/>
          <w:sz w:val="24"/>
          <w:szCs w:val="24"/>
        </w:rPr>
        <w:t xml:space="preserve"> 700/QĐ-UBND. </w:t>
      </w:r>
    </w:p>
    <w:p w:rsidR="00E36A4F" w:rsidRPr="00E36A4F" w:rsidRDefault="00E36A4F" w:rsidP="00E36A4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b/>
          <w:bCs/>
          <w:sz w:val="24"/>
          <w:szCs w:val="24"/>
        </w:rPr>
        <w:t>Date of Issue:</w:t>
      </w:r>
      <w:r w:rsidRPr="00E36A4F">
        <w:rPr>
          <w:rFonts w:ascii="Times New Roman" w:eastAsia="Times New Roman" w:hAnsi="Times New Roman" w:cs="Times New Roman"/>
          <w:sz w:val="24"/>
          <w:szCs w:val="24"/>
        </w:rPr>
        <w:t xml:space="preserve"> May 25, 2011. </w:t>
      </w:r>
    </w:p>
    <w:p w:rsidR="00E36A4F" w:rsidRPr="00E36A4F" w:rsidRDefault="00E36A4F" w:rsidP="00E36A4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b/>
          <w:bCs/>
          <w:sz w:val="24"/>
          <w:szCs w:val="24"/>
        </w:rPr>
        <w:t>Legal Basis:</w:t>
      </w:r>
      <w:r w:rsidRPr="00E36A4F">
        <w:rPr>
          <w:rFonts w:ascii="Times New Roman" w:eastAsia="Times New Roman" w:hAnsi="Times New Roman" w:cs="Times New Roman"/>
          <w:sz w:val="24"/>
          <w:szCs w:val="24"/>
        </w:rPr>
        <w:t xml:space="preserve"> Based on the Law on Organization of People's Councils and People's Committees (2003), the Land Law (2003), and various government decrees (No. 181/2004/NĐ-CP, 17/2006/NĐ-CP, 84/2007/NĐ-CP, and 69/2009/NĐ-CP) regarding land recovery, compensation, and resettlement. </w:t>
      </w:r>
    </w:p>
    <w:p w:rsidR="00E36A4F" w:rsidRPr="00E36A4F" w:rsidRDefault="00E36A4F" w:rsidP="00E36A4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b/>
          <w:bCs/>
          <w:sz w:val="24"/>
          <w:szCs w:val="24"/>
        </w:rPr>
        <w:t>Proposal Sources:</w:t>
      </w:r>
      <w:r w:rsidRPr="00E36A4F">
        <w:rPr>
          <w:rFonts w:ascii="Times New Roman" w:eastAsia="Times New Roman" w:hAnsi="Times New Roman" w:cs="Times New Roman"/>
          <w:sz w:val="24"/>
          <w:szCs w:val="24"/>
        </w:rPr>
        <w:t xml:space="preserve"> Proposal No. 51/TTr-Cty (March 30, 2011) from Đắk Glun Hydropower Joint Stock Company and Proposal No. 623/TTr-TN&amp;MT (May 18, 2011) from the Director of the Department of Natural Resources and Environment. </w:t>
      </w:r>
    </w:p>
    <w:p w:rsidR="00E36A4F" w:rsidRPr="00E36A4F" w:rsidRDefault="00E36A4F" w:rsidP="00E36A4F">
      <w:pPr>
        <w:spacing w:before="100" w:beforeAutospacing="1" w:after="100" w:afterAutospacing="1" w:line="240" w:lineRule="auto"/>
        <w:outlineLvl w:val="2"/>
        <w:rPr>
          <w:rFonts w:ascii="Times New Roman" w:eastAsia="Times New Roman" w:hAnsi="Times New Roman" w:cs="Times New Roman"/>
          <w:b/>
          <w:bCs/>
          <w:sz w:val="27"/>
          <w:szCs w:val="27"/>
        </w:rPr>
      </w:pPr>
      <w:r w:rsidRPr="00E36A4F">
        <w:rPr>
          <w:rFonts w:ascii="Times New Roman" w:eastAsia="Times New Roman" w:hAnsi="Times New Roman" w:cs="Times New Roman"/>
          <w:b/>
          <w:bCs/>
          <w:sz w:val="27"/>
          <w:szCs w:val="27"/>
        </w:rPr>
        <w:t>Decision Content</w:t>
      </w:r>
    </w:p>
    <w:p w:rsidR="00E36A4F" w:rsidRPr="00E36A4F" w:rsidRDefault="00E36A4F" w:rsidP="00E36A4F">
      <w:pPr>
        <w:spacing w:before="100" w:beforeAutospacing="1" w:after="100" w:afterAutospacing="1" w:line="240" w:lineRule="auto"/>
        <w:outlineLvl w:val="3"/>
        <w:rPr>
          <w:rFonts w:ascii="Times New Roman" w:eastAsia="Times New Roman" w:hAnsi="Times New Roman" w:cs="Times New Roman"/>
          <w:b/>
          <w:bCs/>
          <w:sz w:val="24"/>
          <w:szCs w:val="24"/>
        </w:rPr>
      </w:pPr>
      <w:r w:rsidRPr="00E36A4F">
        <w:rPr>
          <w:rFonts w:ascii="Times New Roman" w:eastAsia="Times New Roman" w:hAnsi="Times New Roman" w:cs="Times New Roman"/>
          <w:b/>
          <w:bCs/>
          <w:sz w:val="24"/>
          <w:szCs w:val="24"/>
        </w:rPr>
        <w:t>Article 1: Land Recovery Scope</w:t>
      </w:r>
    </w:p>
    <w:p w:rsidR="00E36A4F" w:rsidRPr="00E36A4F" w:rsidRDefault="00E36A4F" w:rsidP="00E36A4F">
      <w:p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sz w:val="24"/>
          <w:szCs w:val="24"/>
        </w:rPr>
        <w:t xml:space="preserve">The Province shall recover </w:t>
      </w:r>
      <w:r w:rsidRPr="00E36A4F">
        <w:rPr>
          <w:rFonts w:ascii="Times New Roman" w:eastAsia="Times New Roman" w:hAnsi="Times New Roman" w:cs="Times New Roman"/>
          <w:b/>
          <w:bCs/>
          <w:sz w:val="24"/>
          <w:szCs w:val="24"/>
        </w:rPr>
        <w:t>208.0 hectares</w:t>
      </w:r>
      <w:r w:rsidRPr="00E36A4F">
        <w:rPr>
          <w:rFonts w:ascii="Times New Roman" w:eastAsia="Times New Roman" w:hAnsi="Times New Roman" w:cs="Times New Roman"/>
          <w:sz w:val="24"/>
          <w:szCs w:val="24"/>
        </w:rPr>
        <w:t xml:space="preserve"> of land from former users for the Đắk Glun 2 and 3 hydropower projects. </w:t>
      </w:r>
    </w:p>
    <w:p w:rsidR="00E36A4F" w:rsidRPr="00E36A4F" w:rsidRDefault="00E36A4F" w:rsidP="00E36A4F">
      <w:p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b/>
          <w:bCs/>
          <w:sz w:val="24"/>
          <w:szCs w:val="24"/>
        </w:rPr>
        <w:t>1. Area recovered by entity:</w:t>
      </w:r>
    </w:p>
    <w:p w:rsidR="00E36A4F" w:rsidRPr="00E36A4F" w:rsidRDefault="00E36A4F" w:rsidP="00E36A4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b/>
          <w:bCs/>
          <w:sz w:val="24"/>
          <w:szCs w:val="24"/>
        </w:rPr>
        <w:t>Quang Tin Forestry One Member MTV Co., Ltd:</w:t>
      </w:r>
      <w:r w:rsidRPr="00E36A4F">
        <w:rPr>
          <w:rFonts w:ascii="Times New Roman" w:eastAsia="Times New Roman" w:hAnsi="Times New Roman" w:cs="Times New Roman"/>
          <w:sz w:val="24"/>
          <w:szCs w:val="24"/>
        </w:rPr>
        <w:t xml:space="preserve"> 75.40 ha. </w:t>
      </w:r>
    </w:p>
    <w:p w:rsidR="00E36A4F" w:rsidRPr="00E36A4F" w:rsidRDefault="00E36A4F" w:rsidP="00E36A4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b/>
          <w:bCs/>
          <w:sz w:val="24"/>
          <w:szCs w:val="24"/>
        </w:rPr>
        <w:t>Phu Rieng Rubber One Member MTV Co., Ltd:</w:t>
      </w:r>
      <w:r w:rsidRPr="00E36A4F">
        <w:rPr>
          <w:rFonts w:ascii="Times New Roman" w:eastAsia="Times New Roman" w:hAnsi="Times New Roman" w:cs="Times New Roman"/>
          <w:sz w:val="24"/>
          <w:szCs w:val="24"/>
        </w:rPr>
        <w:t xml:space="preserve"> 132.6 ha. </w:t>
      </w:r>
    </w:p>
    <w:p w:rsidR="00E36A4F" w:rsidRPr="00E36A4F" w:rsidRDefault="00E36A4F" w:rsidP="00E36A4F">
      <w:p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sz w:val="24"/>
          <w:szCs w:val="24"/>
        </w:rPr>
        <w:t xml:space="preserve">2. Land status (per inspection report dated May 28, 2010): </w:t>
      </w:r>
    </w:p>
    <w:p w:rsidR="00E36A4F" w:rsidRPr="00E36A4F" w:rsidRDefault="00E36A4F" w:rsidP="00E36A4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b/>
          <w:bCs/>
          <w:sz w:val="24"/>
          <w:szCs w:val="24"/>
        </w:rPr>
        <w:t>Forested Land (188.99 ha total):</w:t>
      </w:r>
      <w:r w:rsidRPr="00E36A4F">
        <w:rPr>
          <w:rFonts w:ascii="Times New Roman" w:eastAsia="Times New Roman" w:hAnsi="Times New Roman" w:cs="Times New Roman"/>
          <w:sz w:val="24"/>
          <w:szCs w:val="24"/>
        </w:rPr>
        <w:t xml:space="preserve"> </w:t>
      </w:r>
    </w:p>
    <w:p w:rsidR="00E36A4F" w:rsidRPr="00E36A4F" w:rsidRDefault="00E36A4F" w:rsidP="00E36A4F">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sz w:val="24"/>
          <w:szCs w:val="24"/>
        </w:rPr>
        <w:t xml:space="preserve">Evergreen broadleaf forest: 70.36 ha. </w:t>
      </w:r>
    </w:p>
    <w:p w:rsidR="00E36A4F" w:rsidRPr="00E36A4F" w:rsidRDefault="00E36A4F" w:rsidP="00E36A4F">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sz w:val="24"/>
          <w:szCs w:val="24"/>
        </w:rPr>
        <w:t xml:space="preserve">Mixed evergreen, bamboo, and cork forest: 117.21 ha. </w:t>
      </w:r>
    </w:p>
    <w:p w:rsidR="00E36A4F" w:rsidRPr="00E36A4F" w:rsidRDefault="00E36A4F" w:rsidP="00E36A4F">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sz w:val="24"/>
          <w:szCs w:val="24"/>
        </w:rPr>
        <w:t xml:space="preserve">Mixed bamboo and wood forest: 0.52 ha. </w:t>
      </w:r>
    </w:p>
    <w:p w:rsidR="00E36A4F" w:rsidRPr="00E36A4F" w:rsidRDefault="00E36A4F" w:rsidP="00E36A4F">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sz w:val="24"/>
          <w:szCs w:val="24"/>
        </w:rPr>
        <w:t xml:space="preserve">Cork (lo o) forest: 0.80 ha. </w:t>
      </w:r>
    </w:p>
    <w:p w:rsidR="00E36A4F" w:rsidRPr="00E36A4F" w:rsidRDefault="00E36A4F" w:rsidP="00E36A4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b/>
          <w:bCs/>
          <w:sz w:val="24"/>
          <w:szCs w:val="24"/>
        </w:rPr>
        <w:t>Non-Forested Land (19.10 ha total):</w:t>
      </w:r>
      <w:r w:rsidRPr="00E36A4F">
        <w:rPr>
          <w:rFonts w:ascii="Times New Roman" w:eastAsia="Times New Roman" w:hAnsi="Times New Roman" w:cs="Times New Roman"/>
          <w:sz w:val="24"/>
          <w:szCs w:val="24"/>
        </w:rPr>
        <w:t xml:space="preserve"> </w:t>
      </w:r>
    </w:p>
    <w:p w:rsidR="00E36A4F" w:rsidRPr="00E36A4F" w:rsidRDefault="00E36A4F" w:rsidP="00E36A4F">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sz w:val="24"/>
          <w:szCs w:val="24"/>
        </w:rPr>
        <w:t xml:space="preserve">Land without regenerative trees: 1.90 ha. </w:t>
      </w:r>
    </w:p>
    <w:p w:rsidR="00E36A4F" w:rsidRPr="00E36A4F" w:rsidRDefault="00E36A4F" w:rsidP="00E36A4F">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sz w:val="24"/>
          <w:szCs w:val="24"/>
        </w:rPr>
        <w:t xml:space="preserve">Cashew cultivation land: 0.30 ha. </w:t>
      </w:r>
    </w:p>
    <w:p w:rsidR="00E36A4F" w:rsidRPr="00E36A4F" w:rsidRDefault="00E36A4F" w:rsidP="00E36A4F">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sz w:val="24"/>
          <w:szCs w:val="24"/>
        </w:rPr>
        <w:t xml:space="preserve">Rubber cultivation land: 2.90 ha. </w:t>
      </w:r>
    </w:p>
    <w:p w:rsidR="00E36A4F" w:rsidRPr="00E36A4F" w:rsidRDefault="00E36A4F" w:rsidP="00E36A4F">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sz w:val="24"/>
          <w:szCs w:val="24"/>
        </w:rPr>
        <w:t xml:space="preserve">Swidden/Agricultural plots (Ray): 2.00 ha. </w:t>
      </w:r>
    </w:p>
    <w:p w:rsidR="00E36A4F" w:rsidRPr="00E36A4F" w:rsidRDefault="00E36A4F" w:rsidP="00E36A4F">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sz w:val="24"/>
          <w:szCs w:val="24"/>
        </w:rPr>
        <w:t xml:space="preserve">Deforested land: 11.00 ha. </w:t>
      </w:r>
    </w:p>
    <w:p w:rsidR="00E36A4F" w:rsidRPr="00E36A4F" w:rsidRDefault="00E36A4F" w:rsidP="00E36A4F">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sz w:val="24"/>
          <w:szCs w:val="24"/>
        </w:rPr>
        <w:t xml:space="preserve">Other land (creeks, streams, roads, etc.): 1.00 ha. </w:t>
      </w:r>
    </w:p>
    <w:p w:rsidR="00E36A4F" w:rsidRPr="00E36A4F" w:rsidRDefault="00E36A4F" w:rsidP="00E36A4F">
      <w:p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b/>
          <w:bCs/>
          <w:sz w:val="24"/>
          <w:szCs w:val="24"/>
        </w:rPr>
        <w:lastRenderedPageBreak/>
        <w:t>3. Location:</w:t>
      </w:r>
    </w:p>
    <w:p w:rsidR="00E36A4F" w:rsidRPr="00E36A4F" w:rsidRDefault="00E36A4F" w:rsidP="00E36A4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b/>
          <w:bCs/>
          <w:sz w:val="24"/>
          <w:szCs w:val="24"/>
        </w:rPr>
        <w:t>Sub-enclosures:</w:t>
      </w:r>
      <w:r w:rsidRPr="00E36A4F">
        <w:rPr>
          <w:rFonts w:ascii="Times New Roman" w:eastAsia="Times New Roman" w:hAnsi="Times New Roman" w:cs="Times New Roman"/>
          <w:sz w:val="24"/>
          <w:szCs w:val="24"/>
        </w:rPr>
        <w:t xml:space="preserve"> 1506, 1507, 1512, 1488, 1495, 1499, 150. </w:t>
      </w:r>
    </w:p>
    <w:p w:rsidR="00E36A4F" w:rsidRPr="00E36A4F" w:rsidRDefault="00E36A4F" w:rsidP="00E36A4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b/>
          <w:bCs/>
          <w:sz w:val="24"/>
          <w:szCs w:val="24"/>
        </w:rPr>
        <w:t>Administrative Jurisdictions:</w:t>
      </w:r>
      <w:r w:rsidRPr="00E36A4F">
        <w:rPr>
          <w:rFonts w:ascii="Times New Roman" w:eastAsia="Times New Roman" w:hAnsi="Times New Roman" w:cs="Times New Roman"/>
          <w:sz w:val="24"/>
          <w:szCs w:val="24"/>
        </w:rPr>
        <w:t xml:space="preserve"> Quang Tam and Đắk Ngo Communes, Tuy Duc District, Đắk Nông Province. </w:t>
      </w:r>
    </w:p>
    <w:p w:rsidR="00E36A4F" w:rsidRPr="00E36A4F" w:rsidRDefault="00E36A4F" w:rsidP="00E36A4F">
      <w:pPr>
        <w:spacing w:before="100" w:beforeAutospacing="1" w:after="100" w:afterAutospacing="1" w:line="240" w:lineRule="auto"/>
        <w:outlineLvl w:val="3"/>
        <w:rPr>
          <w:rFonts w:ascii="Times New Roman" w:eastAsia="Times New Roman" w:hAnsi="Times New Roman" w:cs="Times New Roman"/>
          <w:b/>
          <w:bCs/>
          <w:sz w:val="24"/>
          <w:szCs w:val="24"/>
        </w:rPr>
      </w:pPr>
      <w:r w:rsidRPr="00E36A4F">
        <w:rPr>
          <w:rFonts w:ascii="Times New Roman" w:eastAsia="Times New Roman" w:hAnsi="Times New Roman" w:cs="Times New Roman"/>
          <w:b/>
          <w:bCs/>
          <w:sz w:val="24"/>
          <w:szCs w:val="24"/>
        </w:rPr>
        <w:t>Article 2: Implementation Assignments</w:t>
      </w:r>
    </w:p>
    <w:p w:rsidR="00E36A4F" w:rsidRPr="00E36A4F" w:rsidRDefault="00E36A4F" w:rsidP="00E36A4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b/>
          <w:bCs/>
          <w:sz w:val="24"/>
          <w:szCs w:val="24"/>
        </w:rPr>
        <w:t>Department of Agriculture and Rural Development:</w:t>
      </w:r>
      <w:r w:rsidRPr="00E36A4F">
        <w:rPr>
          <w:rFonts w:ascii="Times New Roman" w:eastAsia="Times New Roman" w:hAnsi="Times New Roman" w:cs="Times New Roman"/>
          <w:sz w:val="24"/>
          <w:szCs w:val="24"/>
        </w:rPr>
        <w:t xml:space="preserve"> Guide entities in procedures for the salvage and utilization of forest products on the recovered land. </w:t>
      </w:r>
    </w:p>
    <w:p w:rsidR="00E36A4F" w:rsidRPr="00E36A4F" w:rsidRDefault="00E36A4F" w:rsidP="00E36A4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b/>
          <w:bCs/>
          <w:sz w:val="24"/>
          <w:szCs w:val="24"/>
        </w:rPr>
        <w:t>Department of Natural Resources and Environment:</w:t>
      </w:r>
      <w:r w:rsidRPr="00E36A4F">
        <w:rPr>
          <w:rFonts w:ascii="Times New Roman" w:eastAsia="Times New Roman" w:hAnsi="Times New Roman" w:cs="Times New Roman"/>
          <w:sz w:val="24"/>
          <w:szCs w:val="24"/>
        </w:rPr>
        <w:t xml:space="preserve"> Lead and coordinate with local authorities to carry out field-based land recovery procedures. </w:t>
      </w:r>
    </w:p>
    <w:p w:rsidR="00E36A4F" w:rsidRPr="00E36A4F" w:rsidRDefault="00E36A4F" w:rsidP="00E36A4F">
      <w:pPr>
        <w:spacing w:before="100" w:beforeAutospacing="1" w:after="100" w:afterAutospacing="1" w:line="240" w:lineRule="auto"/>
        <w:outlineLvl w:val="3"/>
        <w:rPr>
          <w:rFonts w:ascii="Times New Roman" w:eastAsia="Times New Roman" w:hAnsi="Times New Roman" w:cs="Times New Roman"/>
          <w:b/>
          <w:bCs/>
          <w:sz w:val="24"/>
          <w:szCs w:val="24"/>
        </w:rPr>
      </w:pPr>
      <w:r w:rsidRPr="00E36A4F">
        <w:rPr>
          <w:rFonts w:ascii="Times New Roman" w:eastAsia="Times New Roman" w:hAnsi="Times New Roman" w:cs="Times New Roman"/>
          <w:b/>
          <w:bCs/>
          <w:sz w:val="24"/>
          <w:szCs w:val="24"/>
        </w:rPr>
        <w:t>Article 3: Responsibility for Execution</w:t>
      </w:r>
    </w:p>
    <w:p w:rsidR="00E36A4F" w:rsidRPr="00E36A4F" w:rsidRDefault="00E36A4F" w:rsidP="00E36A4F">
      <w:pPr>
        <w:spacing w:before="100" w:beforeAutospacing="1" w:after="100" w:afterAutospacing="1" w:line="240" w:lineRule="auto"/>
        <w:rPr>
          <w:rFonts w:ascii="Times New Roman" w:eastAsia="Times New Roman" w:hAnsi="Times New Roman" w:cs="Times New Roman"/>
          <w:sz w:val="24"/>
          <w:szCs w:val="24"/>
        </w:rPr>
      </w:pPr>
      <w:r w:rsidRPr="00E36A4F">
        <w:rPr>
          <w:rFonts w:ascii="Times New Roman" w:eastAsia="Times New Roman" w:hAnsi="Times New Roman" w:cs="Times New Roman"/>
          <w:sz w:val="24"/>
          <w:szCs w:val="24"/>
        </w:rPr>
        <w:t xml:space="preserve">The Chief of the Provincial People's Committee Office, Directors of relevant Departments (Natural Resources and Environment, Agriculture, Construction, Industry and Trade), the Chairman of Tuy Duc District, Chairmen of Quang Tam and Đắk Ngo Communes, and the Directors of the Quang Tin Forestry and Phu Rieng Rubber companies are responsible for implementing this decision. </w:t>
      </w:r>
    </w:p>
    <w:p w:rsidR="00570709" w:rsidRDefault="00570709">
      <w:bookmarkStart w:id="0" w:name="_GoBack"/>
      <w:bookmarkEnd w:id="0"/>
    </w:p>
    <w:sectPr w:rsidR="005707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E34DC"/>
    <w:multiLevelType w:val="multilevel"/>
    <w:tmpl w:val="157C8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474545"/>
    <w:multiLevelType w:val="multilevel"/>
    <w:tmpl w:val="723E18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4A45EB"/>
    <w:multiLevelType w:val="multilevel"/>
    <w:tmpl w:val="00D2D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AC1C0F"/>
    <w:multiLevelType w:val="multilevel"/>
    <w:tmpl w:val="31505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64608D9"/>
    <w:multiLevelType w:val="multilevel"/>
    <w:tmpl w:val="3B86F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A4F"/>
    <w:rsid w:val="00570709"/>
    <w:rsid w:val="00E36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AA016"/>
  <w15:chartTrackingRefBased/>
  <w15:docId w15:val="{971E7F09-898A-4826-AB3B-A7A6563B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E36A4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36A4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E36A4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6A4F"/>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36A4F"/>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E36A4F"/>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36A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4678">
    <w:name w:val="citation-4678"/>
    <w:basedOn w:val="DefaultParagraphFont"/>
    <w:rsid w:val="00E36A4F"/>
  </w:style>
  <w:style w:type="character" w:customStyle="1" w:styleId="citation-4677">
    <w:name w:val="citation-4677"/>
    <w:basedOn w:val="DefaultParagraphFont"/>
    <w:rsid w:val="00E36A4F"/>
  </w:style>
  <w:style w:type="character" w:customStyle="1" w:styleId="citation-4676">
    <w:name w:val="citation-4676"/>
    <w:basedOn w:val="DefaultParagraphFont"/>
    <w:rsid w:val="00E36A4F"/>
  </w:style>
  <w:style w:type="character" w:customStyle="1" w:styleId="citation-4675">
    <w:name w:val="citation-4675"/>
    <w:basedOn w:val="DefaultParagraphFont"/>
    <w:rsid w:val="00E36A4F"/>
  </w:style>
  <w:style w:type="character" w:customStyle="1" w:styleId="citation-4674">
    <w:name w:val="citation-4674"/>
    <w:basedOn w:val="DefaultParagraphFont"/>
    <w:rsid w:val="00E36A4F"/>
  </w:style>
  <w:style w:type="character" w:customStyle="1" w:styleId="citation-4673">
    <w:name w:val="citation-4673"/>
    <w:basedOn w:val="DefaultParagraphFont"/>
    <w:rsid w:val="00E36A4F"/>
  </w:style>
  <w:style w:type="character" w:customStyle="1" w:styleId="citation-4672">
    <w:name w:val="citation-4672"/>
    <w:basedOn w:val="DefaultParagraphFont"/>
    <w:rsid w:val="00E36A4F"/>
  </w:style>
  <w:style w:type="character" w:customStyle="1" w:styleId="citation-4671">
    <w:name w:val="citation-4671"/>
    <w:basedOn w:val="DefaultParagraphFont"/>
    <w:rsid w:val="00E36A4F"/>
  </w:style>
  <w:style w:type="character" w:customStyle="1" w:styleId="citation-4670">
    <w:name w:val="citation-4670"/>
    <w:basedOn w:val="DefaultParagraphFont"/>
    <w:rsid w:val="00E36A4F"/>
  </w:style>
  <w:style w:type="character" w:customStyle="1" w:styleId="citation-4669">
    <w:name w:val="citation-4669"/>
    <w:basedOn w:val="DefaultParagraphFont"/>
    <w:rsid w:val="00E36A4F"/>
  </w:style>
  <w:style w:type="character" w:customStyle="1" w:styleId="citation-4668">
    <w:name w:val="citation-4668"/>
    <w:basedOn w:val="DefaultParagraphFont"/>
    <w:rsid w:val="00E36A4F"/>
  </w:style>
  <w:style w:type="character" w:customStyle="1" w:styleId="button-label">
    <w:name w:val="button-label"/>
    <w:basedOn w:val="DefaultParagraphFont"/>
    <w:rsid w:val="00E36A4F"/>
  </w:style>
  <w:style w:type="character" w:customStyle="1" w:styleId="citation-4667">
    <w:name w:val="citation-4667"/>
    <w:basedOn w:val="DefaultParagraphFont"/>
    <w:rsid w:val="00E36A4F"/>
  </w:style>
  <w:style w:type="character" w:customStyle="1" w:styleId="citation-4666">
    <w:name w:val="citation-4666"/>
    <w:basedOn w:val="DefaultParagraphFont"/>
    <w:rsid w:val="00E36A4F"/>
  </w:style>
  <w:style w:type="character" w:customStyle="1" w:styleId="citation-4665">
    <w:name w:val="citation-4665"/>
    <w:basedOn w:val="DefaultParagraphFont"/>
    <w:rsid w:val="00E36A4F"/>
  </w:style>
  <w:style w:type="character" w:customStyle="1" w:styleId="citation-4664">
    <w:name w:val="citation-4664"/>
    <w:basedOn w:val="DefaultParagraphFont"/>
    <w:rsid w:val="00E36A4F"/>
  </w:style>
  <w:style w:type="character" w:customStyle="1" w:styleId="citation-4663">
    <w:name w:val="citation-4663"/>
    <w:basedOn w:val="DefaultParagraphFont"/>
    <w:rsid w:val="00E36A4F"/>
  </w:style>
  <w:style w:type="character" w:customStyle="1" w:styleId="citation-4662">
    <w:name w:val="citation-4662"/>
    <w:basedOn w:val="DefaultParagraphFont"/>
    <w:rsid w:val="00E36A4F"/>
  </w:style>
  <w:style w:type="character" w:customStyle="1" w:styleId="citation-4661">
    <w:name w:val="citation-4661"/>
    <w:basedOn w:val="DefaultParagraphFont"/>
    <w:rsid w:val="00E36A4F"/>
  </w:style>
  <w:style w:type="character" w:customStyle="1" w:styleId="citation-4660">
    <w:name w:val="citation-4660"/>
    <w:basedOn w:val="DefaultParagraphFont"/>
    <w:rsid w:val="00E36A4F"/>
  </w:style>
  <w:style w:type="character" w:customStyle="1" w:styleId="citation-4659">
    <w:name w:val="citation-4659"/>
    <w:basedOn w:val="DefaultParagraphFont"/>
    <w:rsid w:val="00E36A4F"/>
  </w:style>
  <w:style w:type="character" w:customStyle="1" w:styleId="citation-4658">
    <w:name w:val="citation-4658"/>
    <w:basedOn w:val="DefaultParagraphFont"/>
    <w:rsid w:val="00E36A4F"/>
  </w:style>
  <w:style w:type="character" w:customStyle="1" w:styleId="citation-4657">
    <w:name w:val="citation-4657"/>
    <w:basedOn w:val="DefaultParagraphFont"/>
    <w:rsid w:val="00E36A4F"/>
  </w:style>
  <w:style w:type="character" w:customStyle="1" w:styleId="citation-4656">
    <w:name w:val="citation-4656"/>
    <w:basedOn w:val="DefaultParagraphFont"/>
    <w:rsid w:val="00E36A4F"/>
  </w:style>
  <w:style w:type="character" w:customStyle="1" w:styleId="citation-4655">
    <w:name w:val="citation-4655"/>
    <w:basedOn w:val="DefaultParagraphFont"/>
    <w:rsid w:val="00E36A4F"/>
  </w:style>
  <w:style w:type="character" w:customStyle="1" w:styleId="citation-4654">
    <w:name w:val="citation-4654"/>
    <w:basedOn w:val="DefaultParagraphFont"/>
    <w:rsid w:val="00E36A4F"/>
  </w:style>
  <w:style w:type="character" w:customStyle="1" w:styleId="citation-4653">
    <w:name w:val="citation-4653"/>
    <w:basedOn w:val="DefaultParagraphFont"/>
    <w:rsid w:val="00E36A4F"/>
  </w:style>
  <w:style w:type="character" w:customStyle="1" w:styleId="citation-4652">
    <w:name w:val="citation-4652"/>
    <w:basedOn w:val="DefaultParagraphFont"/>
    <w:rsid w:val="00E36A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3967335">
      <w:bodyDiv w:val="1"/>
      <w:marLeft w:val="0"/>
      <w:marRight w:val="0"/>
      <w:marTop w:val="0"/>
      <w:marBottom w:val="0"/>
      <w:divBdr>
        <w:top w:val="none" w:sz="0" w:space="0" w:color="auto"/>
        <w:left w:val="none" w:sz="0" w:space="0" w:color="auto"/>
        <w:bottom w:val="none" w:sz="0" w:space="0" w:color="auto"/>
        <w:right w:val="none" w:sz="0" w:space="0" w:color="auto"/>
      </w:divBdr>
      <w:divsChild>
        <w:div w:id="1621111406">
          <w:marLeft w:val="0"/>
          <w:marRight w:val="0"/>
          <w:marTop w:val="0"/>
          <w:marBottom w:val="0"/>
          <w:divBdr>
            <w:top w:val="none" w:sz="0" w:space="0" w:color="auto"/>
            <w:left w:val="none" w:sz="0" w:space="0" w:color="auto"/>
            <w:bottom w:val="none" w:sz="0" w:space="0" w:color="auto"/>
            <w:right w:val="none" w:sz="0" w:space="0" w:color="auto"/>
          </w:divBdr>
        </w:div>
        <w:div w:id="802161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384</Words>
  <Characters>2190</Characters>
  <Application>Microsoft Office Word</Application>
  <DocSecurity>0</DocSecurity>
  <Lines>18</Lines>
  <Paragraphs>5</Paragraphs>
  <ScaleCrop>false</ScaleCrop>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2</cp:revision>
  <dcterms:created xsi:type="dcterms:W3CDTF">2026-01-14T04:02:00Z</dcterms:created>
  <dcterms:modified xsi:type="dcterms:W3CDTF">2026-01-14T04:02:00Z</dcterms:modified>
</cp:coreProperties>
</file>